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057D9" w14:textId="77777777" w:rsidR="002011B7" w:rsidRDefault="002011B7"/>
    <w:p w14:paraId="1EB71493" w14:textId="77777777" w:rsidR="00087125" w:rsidRDefault="00087125" w:rsidP="00087125">
      <w:pPr>
        <w:pStyle w:val="ConsPlusTitle"/>
        <w:jc w:val="center"/>
        <w:outlineLvl w:val="1"/>
      </w:pPr>
      <w:r>
        <w:t>Глава 7. ПОРЯДОК И УСЛОВИЯ ПРЕДОСТАВЛЕНИЯ БЕСПЛАТНОЙ</w:t>
      </w:r>
    </w:p>
    <w:p w14:paraId="709D15BB" w14:textId="77777777" w:rsidR="00087125" w:rsidRDefault="00087125" w:rsidP="00087125">
      <w:pPr>
        <w:pStyle w:val="ConsPlusTitle"/>
        <w:jc w:val="center"/>
      </w:pPr>
      <w:r>
        <w:t>МЕДИЦИНСКОЙ ПОМОЩИ В МЕДИЦИНСКИХ ОРГАНИЗАЦИЯХ</w:t>
      </w:r>
    </w:p>
    <w:p w14:paraId="555787F7" w14:textId="77777777" w:rsidR="00087125" w:rsidRDefault="00087125" w:rsidP="00087125">
      <w:pPr>
        <w:pStyle w:val="ConsPlusNormal"/>
        <w:jc w:val="both"/>
      </w:pPr>
    </w:p>
    <w:p w14:paraId="1A07F144" w14:textId="77777777" w:rsidR="00087125" w:rsidRDefault="00087125" w:rsidP="00087125">
      <w:pPr>
        <w:pStyle w:val="ConsPlusNormal"/>
        <w:ind w:firstLine="540"/>
        <w:jc w:val="both"/>
      </w:pPr>
      <w:r>
        <w:t xml:space="preserve">43. Медицинская помощь оказывается медицинскими организациями, участвующими в реализации Программы, в том числе территориальной программы обязательного медицинского страхования, в соответствии с </w:t>
      </w:r>
      <w:hyperlink w:anchor="Par3746" w:tooltip="ПЕРЕЧЕНЬ" w:history="1">
        <w:r>
          <w:rPr>
            <w:color w:val="0000FF"/>
          </w:rPr>
          <w:t>перечнем</w:t>
        </w:r>
      </w:hyperlink>
      <w:r>
        <w:t xml:space="preserve"> медицинских организаций, участвующих в реализации Программы, в том числе территориальной программы обязательного медицинского страхования, указанным в приложении N 1 к настоящей Программе.</w:t>
      </w:r>
    </w:p>
    <w:p w14:paraId="3DBF6BB6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Медицинские организации в соответствии с </w:t>
      </w:r>
      <w:hyperlink w:anchor="Par9169" w:tooltip="ПЕРЕЧЕНЬ" w:history="1">
        <w:r>
          <w:rPr>
            <w:color w:val="0000FF"/>
          </w:rPr>
          <w:t>перечнем</w:t>
        </w:r>
      </w:hyperlink>
      <w:r>
        <w:t xml:space="preserve"> медицинских организаций, указанных в приложении N 9 к настоящей Программе, оказывают медицинскую реабилитацию в условиях круглосуточного стационара, дневного стационара и в амбулаторных условиях.</w:t>
      </w:r>
    </w:p>
    <w:p w14:paraId="7393ECD2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44. При оказании медицинской помощи в рамках Программы гражданин имеет право на выбор медицинской организации в порядке, утвержденном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</w:p>
    <w:p w14:paraId="0CF12DFA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14:paraId="1B7D82B3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с 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</w:p>
    <w:p w14:paraId="390BCD51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осуществляемой ею медицинской деятельности, врачах, уровне их образования и квалификации.</w:t>
      </w:r>
    </w:p>
    <w:p w14:paraId="14D0706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45. 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</w:t>
      </w:r>
      <w:r>
        <w:lastRenderedPageBreak/>
        <w:t>установленных Программой.</w:t>
      </w:r>
    </w:p>
    <w:p w14:paraId="1B75AA77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46. 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Костромской области от 3 ноября 2005 года N 314-ЗКО "О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организациях":</w:t>
      </w:r>
    </w:p>
    <w:p w14:paraId="0C1958C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1) инвалидам войны;</w:t>
      </w:r>
    </w:p>
    <w:p w14:paraId="43703B1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2) участникам Великой Отечественной войны;</w:t>
      </w:r>
    </w:p>
    <w:p w14:paraId="4398996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3) ветеранам боевых действий;</w:t>
      </w:r>
    </w:p>
    <w:p w14:paraId="5042FF41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4) лицам, награжденным знаком "Жителю блокадного Ленинграда";</w:t>
      </w:r>
    </w:p>
    <w:p w14:paraId="354748D7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</w:p>
    <w:p w14:paraId="0AC22CF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14:paraId="564480F5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7) вдовам инвалидов и участников Великой Отечественной войны;</w:t>
      </w:r>
    </w:p>
    <w:p w14:paraId="1D1426C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8)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29213A40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9) реабилитированным лицам и лицам, признанным пострадавшими от политических репрессий;</w:t>
      </w:r>
    </w:p>
    <w:p w14:paraId="7AC4706E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10) Героям Социалистического Труда, Героям Труда Российской Федерации и полным кавалерам ордена Трудовой Славы;</w:t>
      </w:r>
    </w:p>
    <w:p w14:paraId="5D1A1B3A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обучения);</w:t>
      </w:r>
    </w:p>
    <w:p w14:paraId="4D93763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14:paraId="2D2BA06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13) вдовам (вдовцам) Героев Советского Союза, Героев Российской Федерации или полных кавалеров ордена Славы;</w:t>
      </w:r>
    </w:p>
    <w:p w14:paraId="7DB6847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lastRenderedPageBreak/>
        <w:t>14) гражданам, награжденным нагрудным знаком "Почетный донор СССР" или "Почетный донор России";</w:t>
      </w:r>
    </w:p>
    <w:p w14:paraId="5E0571C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15) детям-инвалидам, инвалидам I и II групп;</w:t>
      </w:r>
    </w:p>
    <w:p w14:paraId="11EB768E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112FD817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17) инвалидам вследствие чернобыльской катастрофы;</w:t>
      </w:r>
    </w:p>
    <w:p w14:paraId="7381AE2A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18) гражданам,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Теча;</w:t>
      </w:r>
    </w:p>
    <w:p w14:paraId="510369D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19) гражданам, ставшим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Теча;</w:t>
      </w:r>
    </w:p>
    <w:p w14:paraId="0B00E64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>
        <w:t>сЗв</w:t>
      </w:r>
      <w:proofErr w:type="spellEnd"/>
      <w:r>
        <w:t xml:space="preserve"> (бэр).</w:t>
      </w:r>
    </w:p>
    <w:p w14:paraId="3C8F04F7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</w:t>
      </w:r>
    </w:p>
    <w:p w14:paraId="55BE430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47. В рамках настоящей Программы обеспечиваются мероприятия по профилактике заболеваний и формированию здорового образа жизни:</w:t>
      </w:r>
    </w:p>
    <w:p w14:paraId="7F1E78C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1) профилактический медицинский осмотр и диспансеризация определенных групп взрослого населения в порядке и в сроки, которые утверждены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 апреля 2021 года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14:paraId="4F0D23B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Диспансеризация и профилактические медицинские осмотры определенных групп взрослого населения проводятся медицинскими организациями в амбулаторно-поликлинических условиях в течение календарного года в соответствии с плановым заданием, утвержденным департаментом здравоохранения Костромской области.</w:t>
      </w:r>
    </w:p>
    <w:p w14:paraId="46201C31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В рамках проведения профилактических мероприятий департамент здравоохранения Костромской области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p w14:paraId="58E64F2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14:paraId="16786736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Департамент здравоохранения Костромской области размещает на своем официальном сайте в информационно-телекоммуникационной сети Интернет информацию </w:t>
      </w:r>
      <w:r>
        <w:lastRenderedPageBreak/>
        <w:t>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14:paraId="241C51BE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14:paraId="6D78B8A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времени;</w:t>
      </w:r>
    </w:p>
    <w:p w14:paraId="4B515F5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2) прохождение несовершеннолетними профилактических медицинских осмотров в порядке и в сроки, которые установлены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августа 2017 года N 514н "О Порядке проведения профилактических медицинских осмотров несовершеннолетних";</w:t>
      </w:r>
    </w:p>
    <w:p w14:paraId="0BC4A50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3)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 и иными состояниями, в порядке и в сроки, которые установлены Приказами Министерства здравоохранения Российской Федерации от 15 марта 2022 года </w:t>
      </w:r>
      <w:hyperlink r:id="rId9" w:history="1">
        <w:r>
          <w:rPr>
            <w:color w:val="0000FF"/>
          </w:rPr>
          <w:t>N 168н</w:t>
        </w:r>
      </w:hyperlink>
      <w:r>
        <w:t xml:space="preserve"> "Об утверждении порядка проведения диспансерного наблюдения за взрослыми", от 4 июня 2020 года </w:t>
      </w:r>
      <w:hyperlink r:id="rId10" w:history="1">
        <w:r>
          <w:rPr>
            <w:color w:val="0000FF"/>
          </w:rPr>
          <w:t>N 548н</w:t>
        </w:r>
      </w:hyperlink>
      <w:r>
        <w:t xml:space="preserve"> "Об утверждении порядка диспансерного наблюдения за взрослыми с онкологическими заболеваниями", от 16 мая 2019 года </w:t>
      </w:r>
      <w:hyperlink r:id="rId11" w:history="1">
        <w:r>
          <w:rPr>
            <w:color w:val="0000FF"/>
          </w:rPr>
          <w:t>N 302н</w:t>
        </w:r>
      </w:hyperlink>
      <w:r>
        <w:t xml:space="preserve">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организациях", от 10 июня 2021 года </w:t>
      </w:r>
      <w:hyperlink r:id="rId12" w:history="1">
        <w:r>
          <w:rPr>
            <w:color w:val="0000FF"/>
          </w:rPr>
          <w:t>N 629н</w:t>
        </w:r>
      </w:hyperlink>
      <w:r>
        <w:t xml:space="preserve"> "Об утверждении Порядка диспансерного наблюдения детей с онкологическими и гематологическими заболеваниями";</w:t>
      </w:r>
    </w:p>
    <w:p w14:paraId="11FC4F32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4) санитарно-противоэпидемические мероприятия;</w:t>
      </w:r>
    </w:p>
    <w:p w14:paraId="1776ED7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5) 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 w14:paraId="488169F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6) повышение уровня информированности населения о профилактике заболеваний, в том числе социально значимых заболеваний, и формирование здорового образа жизни путем проведения занятий в Школах здоровья.</w:t>
      </w:r>
    </w:p>
    <w:p w14:paraId="27CBF4B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48. 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</w:p>
    <w:p w14:paraId="5678CAB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1) осуществляется оказание первичной доврачебной, врачебной медико-санитарной помощи врачами-терапевтами участковыми, врачами-педиатрами участковыми, врачами общей практики (семейными врачами), фельдшерами по предварительной записи (</w:t>
      </w:r>
      <w:proofErr w:type="spellStart"/>
      <w:r>
        <w:t>самозаписи</w:t>
      </w:r>
      <w:proofErr w:type="spellEnd"/>
      <w:r>
        <w:t>), в том числе по телефону, с использованием информационно-телекоммуникационной сети Интернет и другими способами записи в соответствии с прикреплением гражданина (по территории обслуживания и (или) прикрепленным на обслуживание по заявлению);</w:t>
      </w:r>
    </w:p>
    <w:p w14:paraId="73063A21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2) осуществляется оказание медицинской помощи на дому врачами-терапевтами участковыми, врачами-педиатрами участковыми, врачами общей практики (семейными </w:t>
      </w:r>
      <w:r>
        <w:lastRenderedPageBreak/>
        <w:t>врачами), фельдшерами при неотложных состояниях (при острых и внезапных ухудшениях состояния здоровья), а также в случаях, не связанных с оказанием неотложной медицинской помощи:</w:t>
      </w:r>
    </w:p>
    <w:p w14:paraId="50F0E7C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необходимости строгого соблюдения домашнего режима, рекомендованного лечащим врачом стационара (дневного стационара) после выписки;</w:t>
      </w:r>
    </w:p>
    <w:p w14:paraId="44F92E7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наличии заболеваний и состояний, влекущих невозможность передвижения пациента, в том числе при диспансерном наблюдении;</w:t>
      </w:r>
    </w:p>
    <w:p w14:paraId="26793FC9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осуществлении патронажа детей в порядке, утвержденном уполномоченным федеральным органом исполнительной власти;</w:t>
      </w:r>
    </w:p>
    <w:p w14:paraId="1490DBB6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наблюдении до выздоровления детей в возрасте до 1 года в соответствии с порядками оказания медицинской помощи;</w:t>
      </w:r>
    </w:p>
    <w:p w14:paraId="144998D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наблюдении до окончания заразного периода болезни больных инфекционными заболеваниями.</w:t>
      </w:r>
    </w:p>
    <w:p w14:paraId="6679C4D3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наличии медицинских показаний медицинские работники обязаны организовать и обеспечить медицинскую эвакуацию пациента в стационар;</w:t>
      </w:r>
    </w:p>
    <w:p w14:paraId="6880C67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3) осуществляется оказание первичной специализированной медико-санитарной помощи врачами-специалистами:</w:t>
      </w:r>
    </w:p>
    <w:p w14:paraId="2F4BA292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03A889DE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самостоятельном обращении гражданина в медицинскую организацию, в том числе организацию, выбранную им в установленном порядке, в соответствии с порядками оказания медицинской помощи.</w:t>
      </w:r>
    </w:p>
    <w:p w14:paraId="73BDC06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Оказание первичной специализированной медико-санитарной помощи на дому врачами-специалистами осуществляется по назначению врача-терапевта участкового, врача-педиатра участкового, врача общей практики (семейного врача), фельдшера при наличии медицинских показаний;</w:t>
      </w:r>
    </w:p>
    <w:p w14:paraId="518BC09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4) объем инструментально-диагностических и лечебных мероприятий для конкретного пациента определяется лечащим врачом в соответствии со стандартами, порядками оказания медицинской помощи, клиническими рекомендациями (протоколами лечения), иными документами, регламентирующими порядок оказания медицинской помощи.</w:t>
      </w:r>
    </w:p>
    <w:p w14:paraId="7968DE56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Проведение инструментально-диагностических и лабораторных исследований в плановом порядке осуществляется по направлению лечащего врача в порядке очередности с учетом сроков ожидания.</w:t>
      </w:r>
    </w:p>
    <w:p w14:paraId="472675E3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отсутствии возможности проведения диагностических мероприятий, оказания консультативных услуг по месту прикрепления, в том числе в пределах установленных сроков ожидания, гражданин имеет право по направлению лечащего врача (врача-специалиста) на бесплатное оказание необходимой медицинской помощи в иных медицинских организациях;</w:t>
      </w:r>
    </w:p>
    <w:p w14:paraId="29856DFE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5) при неотложных состояниях (при внезапных острых заболеваниях, состояниях, </w:t>
      </w:r>
      <w:r>
        <w:lastRenderedPageBreak/>
        <w:t>обострении хронических заболеваний без явных признаков угрозы жизни пациента) оказание медицинской помощи осуществляется в медицинской организации без предварительной записи с учетом установленных сроков ожидания. При невозможности оказания первичной (доврачебной, врачебной, специализированной) медико-санитарной 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Порядок организации оказания первичной медико-санитарной помощи в экстренной и неотложной формах, в том числе на дому, при вызове медицинского работника гражданам, которые выбрали медицинскую организацию для получения первичной медико-санитарной помощи в рамках Программы не по территориально-участковому принципу, устанавливается департаментом здравоохранения Костромской области;</w:t>
      </w:r>
    </w:p>
    <w:p w14:paraId="7ED96BA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6) медицинская помощь оказывается в пределах установленных сроков ожидания:</w:t>
      </w:r>
    </w:p>
    <w:p w14:paraId="760409A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14:paraId="13F46FF2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14:paraId="237743A6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организацию;</w:t>
      </w:r>
    </w:p>
    <w:p w14:paraId="316AFBA4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14:paraId="70448F3A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14:paraId="11379D4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14:paraId="1D9A8F4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14:paraId="4D777DBE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14:paraId="7C1FD1E3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Уполномоченным федеральным органом исполнительной власти могут быть установлены иные сроки ожидания;</w:t>
      </w:r>
    </w:p>
    <w:p w14:paraId="6BC3F8E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7) при оказании медицинской помощи в амбулаторных условиях в плановой форме производится лекарственное обеспечение:</w:t>
      </w:r>
    </w:p>
    <w:p w14:paraId="5831D23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lastRenderedPageBreak/>
        <w:t>для категорий граждан, которым предоставляются меры социальной поддержки в соответствии с действующим законодательством;</w:t>
      </w:r>
    </w:p>
    <w:p w14:paraId="0A5BAA9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при наличии заболеваний, при амбулаторном лечении которых лекарственные средства и изделия медицинского назначения отпускаются по рецептам врачей бесплатно и с 50-процентной скидкой в соответствии с перечнем лекарственных препаратов, отпускаемых населению по перечню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по перечню и в объеме не менее объема, предусмотренного </w:t>
      </w:r>
      <w:hyperlink r:id="rId13" w:history="1">
        <w:r>
          <w:rPr>
            <w:color w:val="0000FF"/>
          </w:rPr>
          <w:t>приложением N 1</w:t>
        </w:r>
      </w:hyperlink>
      <w:r>
        <w:t xml:space="preserve"> "Перечень жизненно необходимых и важнейших лекарственных препаратов для медицинского применения", утвержденным Распоряжением Правительства Российской Федерации от 12 октября 2019 года N 2406-р, и за счет средств областного бюджета по </w:t>
      </w:r>
      <w:hyperlink w:anchor="Par4849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 N 2 к Программе;</w:t>
      </w:r>
    </w:p>
    <w:p w14:paraId="79ACCF7A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при оказании стоматологической помощи согласно </w:t>
      </w:r>
      <w:hyperlink w:anchor="Par5252" w:tooltip="ПЕРЕЧЕНЬ" w:history="1">
        <w:r>
          <w:rPr>
            <w:color w:val="0000FF"/>
          </w:rPr>
          <w:t>перечню</w:t>
        </w:r>
      </w:hyperlink>
      <w:r>
        <w:t xml:space="preserve"> стоматологических расходных материалов на 2024 год (приложение N 3 к Программе);</w:t>
      </w:r>
    </w:p>
    <w:p w14:paraId="75A06CF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8) при оказании медицинской помощи в амбулаторных условиях в неотложной форме осуществляется обеспечение граждан лекарственными препаратами для медицинского применения, включенными в территориальный </w:t>
      </w:r>
      <w:hyperlink w:anchor="Par5382" w:tooltip="ТЕРРИТОРИАЛЬНЫЙ ПЕРЕЧЕНЬ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(далее - Перечень ЖНВЛП) (приложение N 5 к Программе);</w:t>
      </w:r>
    </w:p>
    <w:p w14:paraId="2681EE84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9) назначение лекарственных препаратов, специализированных продуктов лечебного питания и изделий медицинского назначения, оформление рецептов для их получения осуществляется лечащим врачом (фельдшером) или врачом-специалистом медицинской организации, к которой гражданин прикреплен для получения амбулаторно-поликлинической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здравоохранения Костромской области.</w:t>
      </w:r>
    </w:p>
    <w:p w14:paraId="61A8183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Отпуск лекарственных препаратов, специализированных продуктов лечебного питания и изделий медицинского назначения осуществляется в аптечных организациях, работающих в системе льготного лекарственного обеспечения.</w:t>
      </w:r>
    </w:p>
    <w:p w14:paraId="08B6D7A5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Регламент технологического и информационного взаимодействия врачей (фельдшеров), медицинских, аптечных, других организаций, работающих в системе льготного лекарственного обеспечения, определяется департаментом здравоохранения Костромской области;</w:t>
      </w:r>
    </w:p>
    <w:p w14:paraId="697B959A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10) при наличии заболеваний и состояний, входящих в базовую программу обязательного медицинского страхования, застрахованные 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предусмотренными законодательством Российской Федерации;</w:t>
      </w:r>
    </w:p>
    <w:p w14:paraId="45272BC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11) при оказании паллиативной помощи на дому граждане, в том числе дети, обеспечиваются медицинскими изделиями, предназначенными для поддержания функций </w:t>
      </w:r>
      <w:r>
        <w:lastRenderedPageBreak/>
        <w:t>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в соответствии с порядком, утвержденным приказом департамента здравоохранения Костромской области.</w:t>
      </w:r>
    </w:p>
    <w:p w14:paraId="0AC774A5" w14:textId="77777777" w:rsidR="00087125" w:rsidRDefault="00087125" w:rsidP="0008712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27.05.2024 N 167-а)</w:t>
      </w:r>
    </w:p>
    <w:p w14:paraId="20D2A161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49. При оказании медицинской помощи в стационарных условиях:</w:t>
      </w:r>
    </w:p>
    <w:p w14:paraId="4B85CBF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1) госпитализация в плановой форме для оказания специализированной медицинской помощи в рамках Программы осуществляется по направлению лечащего врача (фельдшера, акушера в случае возложения отдельных функций лечащего врача), оказывающего первичную врачебную, в том числе специализированную, медико-санитарную помощь в соответствии с 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департаментом здравоохранения Костромской области.</w:t>
      </w:r>
    </w:p>
    <w:p w14:paraId="66EFD39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Перед направлением пациента на плановую госпитализацию в условиях круглосуточного или дневного стационара должно быть проведено догоспитальное обследование в соответствии с порядками оказания медицинской помощи, установленными уполномоченным федеральным органом исполнительной власти, на основе клинических рекомендаций с учетом стандартов медицинской помощи. Отсутствие отдельных исследований в рамках догоспитального обследования, которые возможно выполнить на госпитальном этапе, не может являться причиной отказа в госпитализации.</w:t>
      </w:r>
    </w:p>
    <w:p w14:paraId="199565E2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Сроки ожидания специализированной (за исключением высокотехнологичной) медицинской помощи, в том числе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14:paraId="137245A7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2) оказание высокотехнологичной медицинской помощи в рамках 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</w:t>
      </w:r>
      <w:hyperlink w:anchor="Par5282" w:tooltip="ПЕРЕЧЕНЬ" w:history="1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Программы, оказывающих высокотехнологичную медицинскую помощь, указан в приложении N 4 к Программе;</w:t>
      </w:r>
    </w:p>
    <w:p w14:paraId="21E6D423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3) направление больных за пределы Костромской области по заболеваниям и состояниям, не входящим в базовую программу обязательного медицинского страхования, в том числе при отсутствии на территории Костромской области возможности оказания отдельных видов (по профилям) и/или отдельных медицинских вмешательств, осуществляется за счет средств областного бюджета в порядке, установленном департаментом здравоохранения Костромской области;</w:t>
      </w:r>
    </w:p>
    <w:p w14:paraId="2F650C9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4) пациенты круглосуточного стационара обеспечиваются лекарственными препаратами, включенными в территориальный </w:t>
      </w:r>
      <w:hyperlink w:anchor="Par5382" w:tooltip="ТЕРРИТОРИАЛЬНЫЙ ПЕРЕЧЕНЬ" w:history="1">
        <w:r>
          <w:rPr>
            <w:color w:val="0000FF"/>
          </w:rPr>
          <w:t>Перечень</w:t>
        </w:r>
      </w:hyperlink>
      <w:r>
        <w:t xml:space="preserve"> ЖНВЛП (приложение N 5 к Программе),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помощи.</w:t>
      </w:r>
    </w:p>
    <w:p w14:paraId="52A100CE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и/или Перечень ЖНВЛП, допускаются в случае наличия </w:t>
      </w:r>
      <w:r>
        <w:lastRenderedPageBreak/>
        <w:t>медицинских показаний (при нетипичном течении болезни,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решений врачебной комиссии медицинской организации.</w:t>
      </w:r>
    </w:p>
    <w:p w14:paraId="05A8B3A9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Перечнем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утвержденным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31 декабря 2018 года N 3053-р "Об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услуг";</w:t>
      </w:r>
    </w:p>
    <w:p w14:paraId="3400FF2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5) при наличии в медицинской организации родовспоможения соответствующих условий (индивидуальных родовых залов) и с согласия женщины, с учетом состояния ее здоровья отцу ребенка или иному члену семьи предоставляется право присутствовать при рождении ребенка, за исключением случаев оперативного родоразрешения или наличия у отца или иного члена семьи инфекционных заболеваний;</w:t>
      </w:r>
    </w:p>
    <w:p w14:paraId="254A8F09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6)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лечения:</w:t>
      </w:r>
    </w:p>
    <w:p w14:paraId="385E0165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показаний;</w:t>
      </w:r>
    </w:p>
    <w:p w14:paraId="0968513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ребенка-инвалида, который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</w:p>
    <w:p w14:paraId="02007670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Плата за создание условий пребывания в стационарных условиях, в том числе за предоставление спального места и питания, с указанных лиц не взимается;</w:t>
      </w:r>
    </w:p>
    <w:p w14:paraId="66CC56CA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7) 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14:paraId="482A74C0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8) 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 w14:paraId="1FCDD3C7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9) осуществляется ведение листа ожидания оказания специализированной медицинской помощи в плановой форме и информирование граждан в доступной форме, в том числе и с использованием информационно-телекоммуникационной сети Интернет, о </w:t>
      </w:r>
      <w:r>
        <w:lastRenderedPageBreak/>
        <w:t xml:space="preserve">сроках ожидания оказания специализированной медицинской помощи с учетом требований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14:paraId="36422D9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10) транспортировка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лечебных или диагностических исследований при 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эвакуации, осуществляемой выездными бригадами скорой медицинской помощи).</w:t>
      </w:r>
    </w:p>
    <w:p w14:paraId="23DBF1D1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50. При оказании медицинской помощи в условиях дневного стационара:</w:t>
      </w:r>
    </w:p>
    <w:p w14:paraId="47D8B159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1) направление больных на лечение в дневном стационаре осуществляется врачом-терапевтом участковым, врачом общей практики, фельдшером, врачом-специалистом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 амбулаторных условиях;</w:t>
      </w:r>
    </w:p>
    <w:p w14:paraId="5F1875AD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круглосуточного медицинского наблюдения и лечения;</w:t>
      </w:r>
    </w:p>
    <w:p w14:paraId="48675F97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допустимое ожидание плановой госпитализации для оказания 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14:paraId="40CAF35B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2) пациенты дневного стационара обеспечиваются:</w:t>
      </w:r>
    </w:p>
    <w:p w14:paraId="44E6B92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лекарственными препаратами в соответствии с Перечнем ЖНВЛП;</w:t>
      </w:r>
    </w:p>
    <w:p w14:paraId="625B12B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в части базовой программы обязательного медицинского страхования - расходными материалами, мягким 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предусмотренными Тарифным соглашением.</w:t>
      </w:r>
    </w:p>
    <w:p w14:paraId="5AEA041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51. Скорая медицинская помощь оказывается бесплатно, в том числе при отсутствии документов, удостоверяющих личность, и/или полиса обязательного медицинского страхования.</w:t>
      </w:r>
    </w:p>
    <w:p w14:paraId="5EABF218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пределах районных центров Костромской области, в муниципальных районах Костромской области за пределами районного центра при удаленности населенного пункта от районного центра на расстоянии менее 40 км - 20 минут, от 40 км до 60 км - 50 минут, свыше 60 км - 1 час 20 минут.</w:t>
      </w:r>
    </w:p>
    <w:p w14:paraId="057379B5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52. Медицинская помощь детям-сиротам и детям, оставшимся без попечения </w:t>
      </w:r>
      <w:r>
        <w:lastRenderedPageBreak/>
        <w:t>родителей, оказывается в медицинских организациях в соответствии с:</w:t>
      </w:r>
    </w:p>
    <w:p w14:paraId="3A10D950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1)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апреля 2012 года N 366н "Об утверждении Порядка оказания педиатрической помощи";</w:t>
      </w:r>
    </w:p>
    <w:p w14:paraId="336DB39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2)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апреля 2022 года N 275н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</w:p>
    <w:p w14:paraId="1290A146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ситуации".</w:t>
      </w:r>
    </w:p>
    <w:p w14:paraId="5187AAF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родителей, при выявлении у них заболеваний оказывается в соответствии с Приказами Министерства здравоохранения Российской Федерации от 2 декабря 2014 года </w:t>
      </w:r>
      <w:hyperlink r:id="rId20" w:history="1">
        <w:r>
          <w:rPr>
            <w:color w:val="0000FF"/>
          </w:rPr>
          <w:t>N 796н</w:t>
        </w:r>
      </w:hyperlink>
      <w:r>
        <w:t xml:space="preserve"> "Об утверждении Положения об организации оказания специализированной, в том числе высокотехнологичной, медицинской помощи", от 2 октября 2019 года </w:t>
      </w:r>
      <w:hyperlink r:id="rId21" w:history="1">
        <w:r>
          <w:rPr>
            <w:color w:val="0000FF"/>
          </w:rPr>
          <w:t>N 824н</w:t>
        </w:r>
      </w:hyperlink>
      <w:r>
        <w:t xml:space="preserve"> 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здравоохранения", от 23 октября 2019 года </w:t>
      </w:r>
      <w:hyperlink r:id="rId22" w:history="1">
        <w:r>
          <w:rPr>
            <w:color w:val="0000FF"/>
          </w:rPr>
          <w:t>N 878н</w:t>
        </w:r>
      </w:hyperlink>
      <w:r>
        <w:t xml:space="preserve"> "Об утверждении Порядка организации медицинской реабилитации детей".</w:t>
      </w:r>
    </w:p>
    <w:p w14:paraId="5CB753FF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>53. Возмещение расходов, связанных с оказанием гражданам медицинской помощи в экстренной форме медицинской организацией, не участвующей в реализации Программы, осуществляется за счет средств областного бюджета в соответствии с соглашениями о возмещении расходов, связанных с оказанием медицинской помощи в экстренной форме, заключаемыми между медицинскими организациями, не участвующими в реализации Программы, и департаментом здравоохранения Костромской области в случае фактического оказания данными медицинскими организациями медицинской помощи в экстренной форме (далее - соглашение о возмещении расходов), по форме, утверждаемой департаментом здравоохранения Костромской области, и на основании сведений об оказании гражданам медицинской помощи в экстренной форме, представляемых медицинскими организациями в департамент здравоохранения Костромской области (далее - сведения). Сведения представляются медицинской организацией, не участвующей в реализации Программы, по форме, утверждаемой департаментом здравоохранения Костромской области, в срок не позднее 30 календарных дней со дня окончания фактического оказания ими медицинской помощи в экстренной форме. Срок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Программы, устанавливается в соглашении о возмещении расходов. Размеры возмещения расходов, связанных с оказанием гражданам медицинской помощи в экстренной форме, соответствуют тарифам на оплату медицинской помощи по обязательному медицинскому страхованию, установленным Тарифным соглашением, и нормативам затрат на оказание государственных услуг.</w:t>
      </w:r>
    </w:p>
    <w:p w14:paraId="001E3E4C" w14:textId="77777777" w:rsidR="00087125" w:rsidRDefault="00087125" w:rsidP="00087125">
      <w:pPr>
        <w:pStyle w:val="ConsPlusNormal"/>
        <w:spacing w:before="240"/>
        <w:ind w:firstLine="540"/>
        <w:jc w:val="both"/>
      </w:pPr>
      <w:r>
        <w:t xml:space="preserve">53.1. 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</w:t>
      </w:r>
      <w:proofErr w:type="spellStart"/>
      <w:r>
        <w:t>иммуногистохимических</w:t>
      </w:r>
      <w:proofErr w:type="spellEnd"/>
      <w:r>
        <w:t xml:space="preserve">, патоморфологических и лучевых методов исследований, функционирующими на базе медицинских организаций, подведомственных Министерству </w:t>
      </w:r>
      <w:r>
        <w:lastRenderedPageBreak/>
        <w:t>здравоохранения Российской Федерации, осуществляется в порядке, утвержденном департаментом здравоохранения Костромской области.</w:t>
      </w:r>
    </w:p>
    <w:p w14:paraId="2348A93A" w14:textId="77777777" w:rsidR="00087125" w:rsidRDefault="00087125" w:rsidP="00087125">
      <w:pPr>
        <w:pStyle w:val="ConsPlusNormal"/>
        <w:jc w:val="both"/>
      </w:pPr>
      <w:r>
        <w:t xml:space="preserve">(п. 53.1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27.05.2024 N 167-а)</w:t>
      </w:r>
    </w:p>
    <w:p w14:paraId="3590D1B7" w14:textId="77777777" w:rsidR="00087125" w:rsidRDefault="00087125"/>
    <w:sectPr w:rsidR="0008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25"/>
    <w:rsid w:val="00087125"/>
    <w:rsid w:val="002011B7"/>
    <w:rsid w:val="005D592F"/>
    <w:rsid w:val="00F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99B8"/>
  <w15:chartTrackingRefBased/>
  <w15:docId w15:val="{F95B9337-D6CA-4552-872C-03EF9F3D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075&amp;date=17.06.2024" TargetMode="External"/><Relationship Id="rId13" Type="http://schemas.openxmlformats.org/officeDocument/2006/relationships/hyperlink" Target="https://login.consultant.ru/link/?req=doc&amp;base=LAW&amp;n=449392&amp;date=17.06.2024&amp;dst=105018&amp;field=134" TargetMode="External"/><Relationship Id="rId18" Type="http://schemas.openxmlformats.org/officeDocument/2006/relationships/hyperlink" Target="https://login.consultant.ru/link/?req=doc&amp;base=LAW&amp;n=416066&amp;date=17.06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8442&amp;date=17.06.2024" TargetMode="External"/><Relationship Id="rId7" Type="http://schemas.openxmlformats.org/officeDocument/2006/relationships/hyperlink" Target="https://login.consultant.ru/link/?req=doc&amp;base=LAW&amp;n=459983&amp;date=17.06.2024" TargetMode="External"/><Relationship Id="rId12" Type="http://schemas.openxmlformats.org/officeDocument/2006/relationships/hyperlink" Target="https://login.consultant.ru/link/?req=doc&amp;base=LAW&amp;n=424840&amp;date=17.06.2024" TargetMode="External"/><Relationship Id="rId17" Type="http://schemas.openxmlformats.org/officeDocument/2006/relationships/hyperlink" Target="https://login.consultant.ru/link/?req=doc&amp;base=LAW&amp;n=358711&amp;date=17.06.20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9201&amp;date=17.06.2024" TargetMode="External"/><Relationship Id="rId20" Type="http://schemas.openxmlformats.org/officeDocument/2006/relationships/hyperlink" Target="https://login.consultant.ru/link/?req=doc&amp;base=LAW&amp;n=185947&amp;date=17.06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65&amp;n=64669&amp;date=17.06.2024" TargetMode="External"/><Relationship Id="rId11" Type="http://schemas.openxmlformats.org/officeDocument/2006/relationships/hyperlink" Target="https://login.consultant.ru/link/?req=doc&amp;base=LAW&amp;n=370078&amp;date=17.06.20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30221&amp;date=17.06.2024" TargetMode="External"/><Relationship Id="rId15" Type="http://schemas.openxmlformats.org/officeDocument/2006/relationships/hyperlink" Target="https://login.consultant.ru/link/?req=doc&amp;base=LAW&amp;n=470444&amp;date=17.06.2024" TargetMode="External"/><Relationship Id="rId23" Type="http://schemas.openxmlformats.org/officeDocument/2006/relationships/hyperlink" Target="https://login.consultant.ru/link/?req=doc&amp;base=RLAW265&amp;n=125745&amp;date=17.06.2024&amp;dst=100192&amp;field=134" TargetMode="External"/><Relationship Id="rId10" Type="http://schemas.openxmlformats.org/officeDocument/2006/relationships/hyperlink" Target="https://login.consultant.ru/link/?req=doc&amp;base=LAW&amp;n=356172&amp;date=17.06.2024" TargetMode="External"/><Relationship Id="rId19" Type="http://schemas.openxmlformats.org/officeDocument/2006/relationships/hyperlink" Target="https://login.consultant.ru/link/?req=doc&amp;base=LAW&amp;n=370077&amp;date=17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753&amp;date=17.06.2024" TargetMode="External"/><Relationship Id="rId14" Type="http://schemas.openxmlformats.org/officeDocument/2006/relationships/hyperlink" Target="https://login.consultant.ru/link/?req=doc&amp;base=RLAW265&amp;n=125745&amp;date=17.06.2024&amp;dst=100191&amp;field=134" TargetMode="External"/><Relationship Id="rId22" Type="http://schemas.openxmlformats.org/officeDocument/2006/relationships/hyperlink" Target="https://login.consultant.ru/link/?req=doc&amp;base=LAW&amp;n=341304&amp;date=1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DFA0-5197-4CD2-A388-07F94AA4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5337</Words>
  <Characters>30424</Characters>
  <Application>Microsoft Office Word</Application>
  <DocSecurity>0</DocSecurity>
  <Lines>253</Lines>
  <Paragraphs>71</Paragraphs>
  <ScaleCrop>false</ScaleCrop>
  <Company/>
  <LinksUpToDate>false</LinksUpToDate>
  <CharactersWithSpaces>35690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1</cp:revision>
  <dcterms:created xsi:type="dcterms:W3CDTF">2024-06-17T07:42:00Z</dcterms:created>
  <dcterms:modified xsi:type="dcterms:W3CDTF">2024-06-17T07:48:00Z</dcterms:modified>
</cp:coreProperties>
</file>