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07" w:rsidRPr="003A5307" w:rsidRDefault="003A5307" w:rsidP="003A5307">
      <w:pPr>
        <w:pStyle w:val="Style6"/>
        <w:widowControl/>
        <w:tabs>
          <w:tab w:val="left" w:pos="1104"/>
        </w:tabs>
        <w:spacing w:before="60" w:line="100" w:lineRule="exact"/>
        <w:ind w:right="-1" w:firstLine="709"/>
        <w:rPr>
          <w:b/>
          <w:color w:val="000000"/>
          <w:sz w:val="32"/>
          <w:szCs w:val="32"/>
        </w:rPr>
      </w:pPr>
      <w:bookmarkStart w:id="0" w:name="_GoBack"/>
      <w:bookmarkEnd w:id="0"/>
    </w:p>
    <w:p w:rsidR="003A5307" w:rsidRPr="003A5307" w:rsidRDefault="003A5307" w:rsidP="003A5307">
      <w:pPr>
        <w:pStyle w:val="Style6"/>
        <w:widowControl/>
        <w:tabs>
          <w:tab w:val="left" w:pos="1104"/>
        </w:tabs>
        <w:spacing w:before="60" w:line="100" w:lineRule="exact"/>
        <w:ind w:right="-1" w:firstLine="0"/>
        <w:rPr>
          <w:rStyle w:val="FontStyle40"/>
          <w:b/>
          <w:color w:val="000000"/>
          <w:sz w:val="32"/>
          <w:szCs w:val="32"/>
        </w:rPr>
      </w:pPr>
      <w:proofErr w:type="gramStart"/>
      <w:r w:rsidRPr="003A5307">
        <w:rPr>
          <w:b/>
          <w:color w:val="000000"/>
          <w:sz w:val="32"/>
          <w:szCs w:val="32"/>
        </w:rPr>
        <w:t xml:space="preserve">Диспансерному осмотру подлежат </w:t>
      </w:r>
      <w:r w:rsidRPr="003A5307">
        <w:rPr>
          <w:rStyle w:val="FontStyle40"/>
          <w:b/>
          <w:color w:val="000000"/>
          <w:sz w:val="32"/>
          <w:szCs w:val="32"/>
        </w:rPr>
        <w:t xml:space="preserve">группы взрослого населения (в </w:t>
      </w:r>
      <w:proofErr w:type="gramEnd"/>
    </w:p>
    <w:p w:rsidR="003A5307" w:rsidRPr="003A5307" w:rsidRDefault="003A5307" w:rsidP="003A5307">
      <w:pPr>
        <w:pStyle w:val="Style6"/>
        <w:widowControl/>
        <w:tabs>
          <w:tab w:val="left" w:pos="1104"/>
        </w:tabs>
        <w:spacing w:before="60" w:line="100" w:lineRule="exact"/>
        <w:ind w:right="-1" w:firstLine="709"/>
        <w:rPr>
          <w:rStyle w:val="FontStyle40"/>
          <w:b/>
          <w:color w:val="000000"/>
          <w:sz w:val="32"/>
          <w:szCs w:val="32"/>
        </w:rPr>
      </w:pPr>
    </w:p>
    <w:p w:rsidR="003A5307" w:rsidRPr="003A5307" w:rsidRDefault="003A5307" w:rsidP="003A5307">
      <w:pPr>
        <w:pStyle w:val="Style6"/>
        <w:widowControl/>
        <w:tabs>
          <w:tab w:val="left" w:pos="1104"/>
        </w:tabs>
        <w:spacing w:before="60" w:line="100" w:lineRule="exact"/>
        <w:ind w:right="-1" w:firstLine="709"/>
        <w:rPr>
          <w:rStyle w:val="FontStyle40"/>
          <w:b/>
          <w:color w:val="000000"/>
          <w:sz w:val="32"/>
          <w:szCs w:val="32"/>
        </w:rPr>
      </w:pPr>
    </w:p>
    <w:p w:rsidR="003A5307" w:rsidRPr="003A5307" w:rsidRDefault="003A5307" w:rsidP="003A5307">
      <w:pPr>
        <w:pStyle w:val="Style6"/>
        <w:widowControl/>
        <w:tabs>
          <w:tab w:val="left" w:pos="1104"/>
        </w:tabs>
        <w:spacing w:before="60" w:line="100" w:lineRule="exact"/>
        <w:ind w:right="-1" w:firstLine="709"/>
        <w:rPr>
          <w:rStyle w:val="FontStyle40"/>
          <w:b/>
          <w:color w:val="000000"/>
          <w:sz w:val="32"/>
          <w:szCs w:val="32"/>
        </w:rPr>
      </w:pPr>
      <w:proofErr w:type="gramStart"/>
      <w:r w:rsidRPr="003A5307">
        <w:rPr>
          <w:rStyle w:val="FontStyle40"/>
          <w:b/>
          <w:color w:val="000000"/>
          <w:sz w:val="32"/>
          <w:szCs w:val="32"/>
        </w:rPr>
        <w:t>возрасте</w:t>
      </w:r>
      <w:proofErr w:type="gramEnd"/>
      <w:r w:rsidRPr="003A5307">
        <w:rPr>
          <w:rStyle w:val="FontStyle40"/>
          <w:b/>
          <w:color w:val="000000"/>
          <w:sz w:val="32"/>
          <w:szCs w:val="32"/>
        </w:rPr>
        <w:t xml:space="preserve"> 18 лет и старше):</w:t>
      </w:r>
    </w:p>
    <w:p w:rsidR="003A5307" w:rsidRPr="003A5307" w:rsidRDefault="003A5307" w:rsidP="003A5307">
      <w:pPr>
        <w:pStyle w:val="Style6"/>
        <w:widowControl/>
        <w:tabs>
          <w:tab w:val="left" w:pos="1104"/>
        </w:tabs>
        <w:spacing w:before="60" w:line="100" w:lineRule="exact"/>
        <w:ind w:right="-1" w:firstLine="709"/>
        <w:rPr>
          <w:rStyle w:val="FontStyle40"/>
          <w:color w:val="000000"/>
          <w:sz w:val="32"/>
          <w:szCs w:val="32"/>
        </w:rPr>
      </w:pPr>
    </w:p>
    <w:p w:rsidR="003A5307" w:rsidRDefault="003A5307" w:rsidP="003A5307">
      <w:pPr>
        <w:pStyle w:val="Style6"/>
        <w:widowControl/>
        <w:tabs>
          <w:tab w:val="left" w:pos="1104"/>
        </w:tabs>
        <w:spacing w:before="60" w:line="100" w:lineRule="exact"/>
        <w:ind w:right="-1" w:firstLine="709"/>
        <w:rPr>
          <w:rStyle w:val="FontStyle40"/>
          <w:color w:val="000000"/>
          <w:sz w:val="28"/>
          <w:szCs w:val="28"/>
        </w:rPr>
      </w:pPr>
    </w:p>
    <w:p w:rsidR="003A5307" w:rsidRDefault="003A5307" w:rsidP="003A5307">
      <w:pPr>
        <w:pStyle w:val="Style6"/>
        <w:widowControl/>
        <w:tabs>
          <w:tab w:val="left" w:pos="1066"/>
        </w:tabs>
        <w:spacing w:before="60" w:line="100" w:lineRule="exact"/>
        <w:ind w:left="709" w:right="-1" w:firstLine="0"/>
        <w:jc w:val="left"/>
        <w:rPr>
          <w:rStyle w:val="FontStyle40"/>
          <w:color w:val="000000"/>
          <w:sz w:val="28"/>
          <w:szCs w:val="28"/>
        </w:rPr>
      </w:pPr>
      <w:r>
        <w:rPr>
          <w:rStyle w:val="FontStyle40"/>
          <w:color w:val="000000"/>
          <w:sz w:val="28"/>
          <w:szCs w:val="28"/>
        </w:rPr>
        <w:t>1) Работающие граждане;</w:t>
      </w:r>
    </w:p>
    <w:p w:rsidR="003A5307" w:rsidRDefault="003A5307" w:rsidP="003A5307">
      <w:pPr>
        <w:pStyle w:val="Style6"/>
        <w:widowControl/>
        <w:tabs>
          <w:tab w:val="left" w:pos="1066"/>
        </w:tabs>
        <w:spacing w:before="60" w:line="100" w:lineRule="exact"/>
        <w:ind w:left="709" w:right="-1" w:firstLine="0"/>
        <w:jc w:val="left"/>
        <w:rPr>
          <w:rStyle w:val="FontStyle40"/>
          <w:color w:val="000000"/>
          <w:sz w:val="28"/>
          <w:szCs w:val="28"/>
        </w:rPr>
      </w:pPr>
    </w:p>
    <w:p w:rsidR="003A5307" w:rsidRDefault="003A5307" w:rsidP="003A5307">
      <w:pPr>
        <w:pStyle w:val="Style6"/>
        <w:widowControl/>
        <w:tabs>
          <w:tab w:val="left" w:pos="1066"/>
        </w:tabs>
        <w:spacing w:before="60" w:line="100" w:lineRule="exact"/>
        <w:ind w:left="709" w:right="-1" w:firstLine="0"/>
        <w:jc w:val="left"/>
        <w:rPr>
          <w:rStyle w:val="FontStyle40"/>
          <w:color w:val="000000"/>
          <w:sz w:val="28"/>
          <w:szCs w:val="28"/>
        </w:rPr>
      </w:pPr>
      <w:r>
        <w:rPr>
          <w:rStyle w:val="FontStyle40"/>
          <w:color w:val="000000"/>
          <w:sz w:val="28"/>
          <w:szCs w:val="28"/>
        </w:rPr>
        <w:t>2) Неработающие граждане;</w:t>
      </w:r>
    </w:p>
    <w:p w:rsidR="003A5307" w:rsidRDefault="003A5307" w:rsidP="003A5307">
      <w:pPr>
        <w:spacing w:before="60"/>
        <w:ind w:left="709"/>
        <w:jc w:val="both"/>
        <w:rPr>
          <w:rStyle w:val="FontStyle40"/>
          <w:color w:val="000000"/>
          <w:sz w:val="28"/>
          <w:szCs w:val="28"/>
        </w:rPr>
      </w:pPr>
      <w:r>
        <w:rPr>
          <w:rStyle w:val="FontStyle40"/>
          <w:color w:val="000000"/>
          <w:sz w:val="28"/>
          <w:szCs w:val="28"/>
        </w:rPr>
        <w:t xml:space="preserve">3) </w:t>
      </w:r>
      <w:proofErr w:type="gramStart"/>
      <w:r>
        <w:rPr>
          <w:rStyle w:val="FontStyle40"/>
          <w:color w:val="000000"/>
          <w:sz w:val="28"/>
          <w:szCs w:val="28"/>
        </w:rPr>
        <w:t>Обучающиеся</w:t>
      </w:r>
      <w:proofErr w:type="gramEnd"/>
      <w:r>
        <w:rPr>
          <w:rStyle w:val="FontStyle40"/>
          <w:color w:val="000000"/>
          <w:sz w:val="28"/>
          <w:szCs w:val="28"/>
        </w:rPr>
        <w:t xml:space="preserve"> в образовательных организациях по очной форме.</w:t>
      </w:r>
    </w:p>
    <w:p w:rsidR="003A5307" w:rsidRDefault="003A5307" w:rsidP="003A5307">
      <w:pPr>
        <w:spacing w:before="60"/>
        <w:ind w:firstLine="709"/>
        <w:jc w:val="both"/>
      </w:pPr>
      <w:r>
        <w:rPr>
          <w:rStyle w:val="FontStyle40"/>
          <w:color w:val="000000"/>
          <w:sz w:val="28"/>
          <w:szCs w:val="28"/>
        </w:rPr>
        <w:t xml:space="preserve">Диспансеризация </w:t>
      </w:r>
      <w:r>
        <w:rPr>
          <w:color w:val="000000"/>
          <w:sz w:val="28"/>
          <w:szCs w:val="28"/>
        </w:rPr>
        <w:t>определенных гру</w:t>
      </w:r>
      <w:proofErr w:type="gramStart"/>
      <w:r>
        <w:rPr>
          <w:color w:val="000000"/>
          <w:sz w:val="28"/>
          <w:szCs w:val="28"/>
        </w:rPr>
        <w:t>пп взр</w:t>
      </w:r>
      <w:proofErr w:type="gramEnd"/>
      <w:r>
        <w:rPr>
          <w:color w:val="000000"/>
          <w:sz w:val="28"/>
          <w:szCs w:val="28"/>
        </w:rPr>
        <w:t xml:space="preserve">ослого населения </w:t>
      </w:r>
      <w:r>
        <w:rPr>
          <w:rStyle w:val="FontStyle40"/>
          <w:color w:val="000000"/>
          <w:sz w:val="28"/>
          <w:szCs w:val="28"/>
        </w:rPr>
        <w:t xml:space="preserve">проводится в возрастные периоды, предусмотренные </w:t>
      </w:r>
      <w:r>
        <w:rPr>
          <w:color w:val="000000"/>
          <w:sz w:val="28"/>
          <w:szCs w:val="28"/>
        </w:rPr>
        <w:t xml:space="preserve">приказом Министерства здравоохранения Российской Федерации </w:t>
      </w:r>
      <w:r>
        <w:rPr>
          <w:bCs/>
          <w:color w:val="000000"/>
          <w:sz w:val="28"/>
          <w:szCs w:val="28"/>
        </w:rPr>
        <w:t>от 26 октября 2017 года № 869н</w:t>
      </w:r>
      <w:r>
        <w:rPr>
          <w:rStyle w:val="FontStyle40"/>
          <w:color w:val="000000"/>
          <w:sz w:val="28"/>
          <w:szCs w:val="28"/>
        </w:rPr>
        <w:t xml:space="preserve">. </w:t>
      </w:r>
    </w:p>
    <w:p w:rsidR="003A5307" w:rsidRDefault="003A5307" w:rsidP="003A5307">
      <w:pPr>
        <w:spacing w:before="60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Финансовое обеспечение </w:t>
      </w:r>
      <w:r>
        <w:rPr>
          <w:rStyle w:val="FontStyle40"/>
          <w:color w:val="000000"/>
          <w:sz w:val="28"/>
          <w:szCs w:val="28"/>
        </w:rPr>
        <w:t>диспансеризации определенных гру</w:t>
      </w:r>
      <w:proofErr w:type="gramStart"/>
      <w:r>
        <w:rPr>
          <w:rStyle w:val="FontStyle40"/>
          <w:color w:val="000000"/>
          <w:sz w:val="28"/>
          <w:szCs w:val="28"/>
        </w:rPr>
        <w:t>пп взр</w:t>
      </w:r>
      <w:proofErr w:type="gramEnd"/>
      <w:r>
        <w:rPr>
          <w:rStyle w:val="FontStyle40"/>
          <w:color w:val="000000"/>
          <w:sz w:val="28"/>
          <w:szCs w:val="28"/>
        </w:rPr>
        <w:t xml:space="preserve">ослого населения </w:t>
      </w:r>
      <w:r>
        <w:rPr>
          <w:color w:val="000000"/>
          <w:sz w:val="28"/>
          <w:szCs w:val="28"/>
        </w:rPr>
        <w:t xml:space="preserve">осуществляется за счет средств обязательного медицинского страхования в рамках территориальной программы обязательного медицинского страхования Костромской области. </w:t>
      </w:r>
    </w:p>
    <w:p w:rsidR="003A5307" w:rsidRDefault="003A5307" w:rsidP="003A5307">
      <w:pPr>
        <w:spacing w:before="60"/>
        <w:ind w:firstLine="696"/>
        <w:jc w:val="both"/>
        <w:rPr>
          <w:rStyle w:val="FontStyle40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 За единицу объема оказанной медицинской помощи по диспансеризации </w:t>
      </w:r>
      <w:r>
        <w:rPr>
          <w:rStyle w:val="FontStyle40"/>
          <w:color w:val="000000"/>
          <w:sz w:val="28"/>
          <w:szCs w:val="28"/>
        </w:rPr>
        <w:t>определенных групп взрослого населения</w:t>
      </w:r>
      <w:r>
        <w:rPr>
          <w:color w:val="000000"/>
          <w:sz w:val="28"/>
          <w:szCs w:val="28"/>
        </w:rPr>
        <w:t xml:space="preserve"> (далее - диспансеризация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 xml:space="preserve">о каждому этапу (по 1 и 2 этапу) диспансеризации принимается </w:t>
      </w:r>
      <w:r>
        <w:rPr>
          <w:b/>
          <w:color w:val="000000"/>
          <w:sz w:val="28"/>
          <w:szCs w:val="28"/>
        </w:rPr>
        <w:t>законченный случай</w:t>
      </w:r>
      <w:r>
        <w:rPr>
          <w:color w:val="000000"/>
          <w:sz w:val="28"/>
          <w:szCs w:val="28"/>
        </w:rPr>
        <w:t xml:space="preserve">. </w:t>
      </w:r>
    </w:p>
    <w:p w:rsidR="003A5307" w:rsidRDefault="003A5307" w:rsidP="003A5307">
      <w:pPr>
        <w:spacing w:before="60"/>
        <w:ind w:firstLine="696"/>
        <w:jc w:val="both"/>
        <w:rPr>
          <w:rStyle w:val="FontStyle4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Обязательный перечень врачей специалистов, проводимых лабораторно-инструментальных исследований в рамках диспансеризации </w:t>
      </w:r>
      <w:r>
        <w:rPr>
          <w:rStyle w:val="FontStyle40"/>
          <w:color w:val="000000"/>
          <w:sz w:val="28"/>
          <w:szCs w:val="28"/>
        </w:rPr>
        <w:t>определенных гру</w:t>
      </w:r>
      <w:proofErr w:type="gramStart"/>
      <w:r>
        <w:rPr>
          <w:rStyle w:val="FontStyle40"/>
          <w:color w:val="000000"/>
          <w:sz w:val="28"/>
          <w:szCs w:val="28"/>
        </w:rPr>
        <w:t>пп взр</w:t>
      </w:r>
      <w:proofErr w:type="gramEnd"/>
      <w:r>
        <w:rPr>
          <w:rStyle w:val="FontStyle40"/>
          <w:color w:val="000000"/>
          <w:sz w:val="28"/>
          <w:szCs w:val="28"/>
        </w:rPr>
        <w:t xml:space="preserve">ослого населения  </w:t>
      </w:r>
      <w:r>
        <w:rPr>
          <w:color w:val="000000"/>
          <w:sz w:val="28"/>
          <w:szCs w:val="28"/>
        </w:rPr>
        <w:t xml:space="preserve">определяется приказом Министерства здравоохранения Российской Федерации </w:t>
      </w:r>
      <w:r>
        <w:rPr>
          <w:bCs/>
          <w:color w:val="000000"/>
          <w:sz w:val="28"/>
          <w:szCs w:val="28"/>
        </w:rPr>
        <w:t>от 26 октября 2017 г. № 869н</w:t>
      </w:r>
      <w:r>
        <w:rPr>
          <w:color w:val="000000"/>
          <w:sz w:val="28"/>
          <w:szCs w:val="28"/>
        </w:rPr>
        <w:t>.</w:t>
      </w:r>
    </w:p>
    <w:p w:rsidR="003A5307" w:rsidRDefault="003A5307" w:rsidP="003A5307">
      <w:pPr>
        <w:spacing w:before="60"/>
        <w:ind w:firstLine="696"/>
        <w:jc w:val="both"/>
      </w:pPr>
      <w:r>
        <w:rPr>
          <w:rStyle w:val="FontStyle40"/>
          <w:color w:val="000000"/>
          <w:sz w:val="28"/>
          <w:szCs w:val="28"/>
        </w:rPr>
        <w:t xml:space="preserve">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</w:t>
      </w:r>
      <w:hyperlink r:id="rId5" w:anchor="Par212" w:history="1">
        <w:r>
          <w:rPr>
            <w:rStyle w:val="a3"/>
          </w:rPr>
          <w:t>Приложением № 1</w:t>
        </w:r>
      </w:hyperlink>
      <w:r>
        <w:rPr>
          <w:rStyle w:val="FontStyle40"/>
          <w:color w:val="000000"/>
          <w:sz w:val="28"/>
          <w:szCs w:val="28"/>
        </w:rPr>
        <w:t xml:space="preserve"> к Порядку.</w:t>
      </w:r>
    </w:p>
    <w:p w:rsidR="003A5307" w:rsidRDefault="003A5307" w:rsidP="003A5307">
      <w:pPr>
        <w:spacing w:before="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3A5307" w:rsidRDefault="003A5307" w:rsidP="003A5307">
      <w:pPr>
        <w:spacing w:before="60"/>
        <w:ind w:firstLine="709"/>
        <w:jc w:val="both"/>
        <w:rPr>
          <w:sz w:val="28"/>
          <w:szCs w:val="28"/>
        </w:rPr>
      </w:pPr>
    </w:p>
    <w:p w:rsidR="003A5307" w:rsidRDefault="003A5307" w:rsidP="003A5307">
      <w:pPr>
        <w:pStyle w:val="rtejustify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5 Основными критериями эффективности диспансеризации взрослого населения являются:</w:t>
      </w:r>
    </w:p>
    <w:p w:rsidR="003A5307" w:rsidRDefault="003A5307" w:rsidP="003A5307">
      <w:pPr>
        <w:pStyle w:val="rtejustify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1) охват диспансеризацией населения, подлежащего диспансеризации в текущем году (плановое значение - не менее 63%);</w:t>
      </w:r>
    </w:p>
    <w:p w:rsidR="003A5307" w:rsidRDefault="003A5307" w:rsidP="003A5307">
      <w:pPr>
        <w:pStyle w:val="rtejustify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2) охват индивидуальным профилактическим консультированием на первом этапе диспансеризации граждан, имеющих высокий относительный и высокий и очень высокий абсолютный </w:t>
      </w:r>
      <w:proofErr w:type="gramStart"/>
      <w:r>
        <w:rPr>
          <w:rFonts w:ascii="Arial" w:hAnsi="Arial" w:cs="Arial"/>
          <w:color w:val="333333"/>
        </w:rPr>
        <w:t>сердечно-сосудистый</w:t>
      </w:r>
      <w:proofErr w:type="gramEnd"/>
      <w:r>
        <w:rPr>
          <w:rFonts w:ascii="Arial" w:hAnsi="Arial" w:cs="Arial"/>
          <w:color w:val="333333"/>
        </w:rPr>
        <w:t xml:space="preserve"> риск, не менее 90% от общего их числа;</w:t>
      </w:r>
    </w:p>
    <w:p w:rsidR="003A5307" w:rsidRDefault="003A5307" w:rsidP="003A5307">
      <w:pPr>
        <w:pStyle w:val="rtejustify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3) охват углубленным (индивидуальным или групповым) профилактическим консультированием на втором этапе диспансеризации граждан в возрасте до 72 лет с впервые выявленной ишемической болезнью сердца, цереброваскулярными заболеваниями или болезнями, характеризующимися повышенным кровяным давлением, не менее 70% от общего их числа;</w:t>
      </w:r>
    </w:p>
    <w:p w:rsidR="003A5307" w:rsidRDefault="003A5307" w:rsidP="003A5307">
      <w:pPr>
        <w:pStyle w:val="rtejustify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4) охват углубленным (индивидуальным или групповым) профилактическим консультированием на втором этапе диспансеризации граждан в возрасте до 72 лет, имеющих риск пагубного потребления алкоголя и (или) риск потребления наркотических средств и психотропных веществ без назначения врача, не менее 70% от общего их числа;</w:t>
      </w:r>
    </w:p>
    <w:p w:rsidR="003A5307" w:rsidRDefault="003A5307" w:rsidP="003A5307">
      <w:pPr>
        <w:pStyle w:val="rtejustify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lastRenderedPageBreak/>
        <w:t>5) охват углубленным (индивидуальным или групповым) профилактическим консультированием на втором этапе диспансеризации граждан в возрасте 75 лет и старше не менее 70% от общего их числа;</w:t>
      </w:r>
    </w:p>
    <w:p w:rsidR="003A5307" w:rsidRDefault="003A5307" w:rsidP="003A5307">
      <w:pPr>
        <w:pStyle w:val="rtejustify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6) охват граждан с впервые выявленными болезнями системы кровообращения, высоким и очень высоким абсолютным </w:t>
      </w:r>
      <w:proofErr w:type="gramStart"/>
      <w:r>
        <w:rPr>
          <w:rFonts w:ascii="Arial" w:hAnsi="Arial" w:cs="Arial"/>
          <w:color w:val="333333"/>
        </w:rPr>
        <w:t>сердечно-сосудистым</w:t>
      </w:r>
      <w:proofErr w:type="gramEnd"/>
      <w:r>
        <w:rPr>
          <w:rFonts w:ascii="Arial" w:hAnsi="Arial" w:cs="Arial"/>
          <w:color w:val="333333"/>
        </w:rPr>
        <w:t xml:space="preserve"> риском диспансерным наблюдением, не менее 80% от общего их числа.</w:t>
      </w:r>
    </w:p>
    <w:p w:rsidR="003A5307" w:rsidRPr="00871BD8" w:rsidRDefault="003A5307" w:rsidP="003A5307">
      <w:pPr>
        <w:rPr>
          <w:b/>
          <w:bCs/>
          <w:sz w:val="36"/>
          <w:szCs w:val="36"/>
        </w:rPr>
      </w:pPr>
    </w:p>
    <w:p w:rsidR="00A52FFE" w:rsidRDefault="00CD3182"/>
    <w:sectPr w:rsidR="00A52FFE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07"/>
    <w:rsid w:val="0021022E"/>
    <w:rsid w:val="003A5307"/>
    <w:rsid w:val="007764C5"/>
    <w:rsid w:val="007765A3"/>
    <w:rsid w:val="00974E8A"/>
    <w:rsid w:val="00C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307"/>
    <w:rPr>
      <w:color w:val="000080"/>
      <w:u w:val="single"/>
    </w:rPr>
  </w:style>
  <w:style w:type="paragraph" w:customStyle="1" w:styleId="Style6">
    <w:name w:val="Style6"/>
    <w:basedOn w:val="a"/>
    <w:rsid w:val="003A5307"/>
    <w:pPr>
      <w:spacing w:line="326" w:lineRule="exact"/>
      <w:ind w:firstLine="730"/>
      <w:jc w:val="both"/>
    </w:pPr>
    <w:rPr>
      <w:rFonts w:eastAsia="Times New Roman" w:cs="Times New Roman"/>
      <w:kern w:val="2"/>
      <w:lang w:eastAsia="ar-SA" w:bidi="ar-SA"/>
    </w:rPr>
  </w:style>
  <w:style w:type="character" w:customStyle="1" w:styleId="FontStyle40">
    <w:name w:val="Font Style40"/>
    <w:rsid w:val="003A5307"/>
    <w:rPr>
      <w:rFonts w:ascii="Times New Roman" w:hAnsi="Times New Roman" w:cs="Times New Roman" w:hint="default"/>
      <w:sz w:val="26"/>
      <w:szCs w:val="26"/>
    </w:rPr>
  </w:style>
  <w:style w:type="paragraph" w:customStyle="1" w:styleId="rtejustify">
    <w:name w:val="rtejustify"/>
    <w:basedOn w:val="a"/>
    <w:rsid w:val="003A5307"/>
    <w:pPr>
      <w:widowControl/>
      <w:suppressAutoHyphens w:val="0"/>
      <w:spacing w:after="150"/>
      <w:jc w:val="both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307"/>
    <w:rPr>
      <w:color w:val="000080"/>
      <w:u w:val="single"/>
    </w:rPr>
  </w:style>
  <w:style w:type="paragraph" w:customStyle="1" w:styleId="Style6">
    <w:name w:val="Style6"/>
    <w:basedOn w:val="a"/>
    <w:rsid w:val="003A5307"/>
    <w:pPr>
      <w:spacing w:line="326" w:lineRule="exact"/>
      <w:ind w:firstLine="730"/>
      <w:jc w:val="both"/>
    </w:pPr>
    <w:rPr>
      <w:rFonts w:eastAsia="Times New Roman" w:cs="Times New Roman"/>
      <w:kern w:val="2"/>
      <w:lang w:eastAsia="ar-SA" w:bidi="ar-SA"/>
    </w:rPr>
  </w:style>
  <w:style w:type="character" w:customStyle="1" w:styleId="FontStyle40">
    <w:name w:val="Font Style40"/>
    <w:rsid w:val="003A5307"/>
    <w:rPr>
      <w:rFonts w:ascii="Times New Roman" w:hAnsi="Times New Roman" w:cs="Times New Roman" w:hint="default"/>
      <w:sz w:val="26"/>
      <w:szCs w:val="26"/>
    </w:rPr>
  </w:style>
  <w:style w:type="paragraph" w:customStyle="1" w:styleId="rtejustify">
    <w:name w:val="rtejustify"/>
    <w:basedOn w:val="a"/>
    <w:rsid w:val="003A5307"/>
    <w:pPr>
      <w:widowControl/>
      <w:suppressAutoHyphens w:val="0"/>
      <w:spacing w:after="150"/>
      <w:jc w:val="both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74;&#1077;&#1088;&#1072;\AppData\Local\Microsoft\Windows\Temporary%20Internet%20Files\Content.IE5\AppData\Local\Microsoft\Windows\Temporary%20Internet%20Files\Content.IE5\458CA05W\pravila_disp.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2018-01-15T18:25:00Z</dcterms:created>
  <dcterms:modified xsi:type="dcterms:W3CDTF">2018-01-15T18:25:00Z</dcterms:modified>
</cp:coreProperties>
</file>